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8A0899" w:rsidRDefault="007176D7" w:rsidP="008A0899">
      <w:pPr>
        <w:jc w:val="center"/>
        <w:rPr>
          <w:b/>
          <w:lang w:val="it-IT"/>
        </w:rPr>
      </w:pPr>
      <w:r w:rsidRPr="008A0899">
        <w:rPr>
          <w:b/>
          <w:lang w:val="it-IT"/>
        </w:rPr>
        <w:t>Programma Finanza Aziendale A.A. 201</w:t>
      </w:r>
      <w:r w:rsidR="00F73A77">
        <w:rPr>
          <w:b/>
          <w:lang w:val="it-IT"/>
        </w:rPr>
        <w:t>8</w:t>
      </w:r>
      <w:r w:rsidRPr="008A0899">
        <w:rPr>
          <w:b/>
          <w:lang w:val="it-IT"/>
        </w:rPr>
        <w:t>-201</w:t>
      </w:r>
      <w:r w:rsidR="00F73A77">
        <w:rPr>
          <w:b/>
          <w:lang w:val="it-IT"/>
        </w:rPr>
        <w:t>9</w:t>
      </w:r>
      <w:r w:rsidR="008A0899">
        <w:rPr>
          <w:b/>
          <w:lang w:val="it-IT"/>
        </w:rPr>
        <w:t xml:space="preserve"> - PAGINA </w:t>
      </w:r>
      <w:proofErr w:type="gramStart"/>
      <w:r w:rsidR="008A0899">
        <w:rPr>
          <w:b/>
          <w:lang w:val="it-IT"/>
        </w:rPr>
        <w:t>1</w:t>
      </w:r>
      <w:proofErr w:type="gramEnd"/>
      <w:r w:rsidR="008A0899">
        <w:rPr>
          <w:b/>
          <w:lang w:val="it-IT"/>
        </w:rPr>
        <w:t xml:space="preserve"> DI 2</w:t>
      </w:r>
    </w:p>
    <w:p w:rsidR="008A0899" w:rsidRDefault="008A0899" w:rsidP="007176D7">
      <w:pPr>
        <w:rPr>
          <w:b/>
          <w:lang w:val="it-IT"/>
        </w:rPr>
      </w:pPr>
    </w:p>
    <w:p w:rsidR="007176D7" w:rsidRPr="008A0899" w:rsidRDefault="007176D7" w:rsidP="007176D7">
      <w:pPr>
        <w:rPr>
          <w:b/>
          <w:lang w:val="it-IT"/>
        </w:rPr>
      </w:pPr>
      <w:r w:rsidRPr="008A0899">
        <w:rPr>
          <w:b/>
          <w:lang w:val="it-IT"/>
        </w:rPr>
        <w:t>LEGENDA:</w:t>
      </w:r>
    </w:p>
    <w:p w:rsidR="007176D7" w:rsidRPr="008A0899" w:rsidRDefault="007176D7" w:rsidP="007176D7">
      <w:pPr>
        <w:shd w:val="clear" w:color="auto" w:fill="D6E3BC" w:themeFill="accent3" w:themeFillTint="66"/>
        <w:rPr>
          <w:lang w:val="it-IT"/>
        </w:rPr>
      </w:pPr>
      <w:r w:rsidRPr="008A0899">
        <w:rPr>
          <w:lang w:val="it-IT"/>
        </w:rPr>
        <w:t>Pr</w:t>
      </w:r>
      <w:r w:rsidR="008A0899" w:rsidRPr="008A0899">
        <w:rPr>
          <w:lang w:val="it-IT"/>
        </w:rPr>
        <w:t>ima pr</w:t>
      </w:r>
      <w:r w:rsidRPr="008A0899">
        <w:rPr>
          <w:lang w:val="it-IT"/>
        </w:rPr>
        <w:t>ova parziale</w:t>
      </w:r>
      <w:r w:rsidR="008A0899" w:rsidRPr="008A0899">
        <w:rPr>
          <w:lang w:val="it-IT"/>
        </w:rPr>
        <w:t xml:space="preserve"> </w:t>
      </w:r>
    </w:p>
    <w:p w:rsidR="007176D7" w:rsidRPr="008A0899" w:rsidRDefault="007176D7" w:rsidP="007176D7">
      <w:pPr>
        <w:shd w:val="clear" w:color="auto" w:fill="B6DDE8" w:themeFill="accent5" w:themeFillTint="66"/>
        <w:rPr>
          <w:lang w:val="it-IT"/>
        </w:rPr>
      </w:pPr>
      <w:r w:rsidRPr="008A0899">
        <w:rPr>
          <w:lang w:val="it-IT"/>
        </w:rPr>
        <w:t>Seconda p</w:t>
      </w:r>
      <w:r w:rsidR="008A0899" w:rsidRPr="008A0899">
        <w:rPr>
          <w:lang w:val="it-IT"/>
        </w:rPr>
        <w:t>rova parziale</w:t>
      </w:r>
    </w:p>
    <w:p w:rsidR="007176D7" w:rsidRPr="008A0899" w:rsidRDefault="007176D7" w:rsidP="007176D7">
      <w:pPr>
        <w:shd w:val="clear" w:color="auto" w:fill="E5B8B7" w:themeFill="accent2" w:themeFillTint="66"/>
        <w:rPr>
          <w:lang w:val="it-IT"/>
        </w:rPr>
      </w:pPr>
      <w:r w:rsidRPr="008A0899">
        <w:rPr>
          <w:lang w:val="it-IT"/>
        </w:rPr>
        <w:t>Non nel programma d’esame</w:t>
      </w:r>
    </w:p>
    <w:p w:rsidR="008A0899" w:rsidRPr="008A0899" w:rsidRDefault="008A0899" w:rsidP="008A0899">
      <w:pPr>
        <w:rPr>
          <w:lang w:val="it-IT"/>
        </w:rPr>
      </w:pPr>
    </w:p>
    <w:p w:rsidR="007176D7" w:rsidRPr="008A0899" w:rsidRDefault="008A0899" w:rsidP="008A0899">
      <w:pPr>
        <w:rPr>
          <w:lang w:val="it-IT"/>
        </w:rPr>
      </w:pPr>
      <w:r w:rsidRPr="008A0899">
        <w:rPr>
          <w:lang w:val="it-IT"/>
        </w:rPr>
        <w:t>Attenzione: chi non ha superato la prima prova parziale, deve preparare per l’esame complet</w:t>
      </w:r>
      <w:r w:rsidR="00FF0382">
        <w:rPr>
          <w:lang w:val="it-IT"/>
        </w:rPr>
        <w:t>o</w:t>
      </w:r>
      <w:r w:rsidRPr="008A0899">
        <w:rPr>
          <w:lang w:val="it-IT"/>
        </w:rPr>
        <w:t xml:space="preserve"> sia il materiale </w:t>
      </w:r>
      <w:proofErr w:type="gramStart"/>
      <w:r w:rsidRPr="008A0899">
        <w:rPr>
          <w:lang w:val="it-IT"/>
        </w:rPr>
        <w:t>relativo alla</w:t>
      </w:r>
      <w:proofErr w:type="gramEnd"/>
      <w:r w:rsidRPr="008A0899">
        <w:rPr>
          <w:lang w:val="it-IT"/>
        </w:rPr>
        <w:t xml:space="preserve"> prima prova parziale che quello relativo alla seconda prova parziale.</w:t>
      </w:r>
    </w:p>
    <w:p w:rsidR="008A0899" w:rsidRPr="008A0899" w:rsidRDefault="008A0899" w:rsidP="008A0899">
      <w:pPr>
        <w:rPr>
          <w:lang w:val="it-IT"/>
        </w:rPr>
      </w:pPr>
    </w:p>
    <w:p w:rsidR="007176D7" w:rsidRPr="008A0899" w:rsidRDefault="007176D7" w:rsidP="007176D7">
      <w:pPr>
        <w:rPr>
          <w:b/>
          <w:lang w:val="it-IT"/>
        </w:rPr>
      </w:pPr>
      <w:r w:rsidRPr="008A0899">
        <w:rPr>
          <w:b/>
          <w:lang w:val="it-IT"/>
        </w:rPr>
        <w:t>MATERIALE DAL LIBRO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Introduzione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Elementi di teoria</w:t>
      </w:r>
      <w:r w:rsidR="007176D7" w:rsidRPr="00E31086">
        <w:rPr>
          <w:lang w:val="it-IT"/>
        </w:rPr>
        <w:t xml:space="preserve"> dell’intermediazione finanziaria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Banca Centrale Europea</w:t>
      </w:r>
      <w:r w:rsidR="007176D7" w:rsidRPr="00E31086">
        <w:rPr>
          <w:lang w:val="it-IT"/>
        </w:rPr>
        <w:t>, politica monetaria e tassi d’interesse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Mercati monetari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Mercati obbligazionari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Mercati azionari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Banche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 xml:space="preserve">SGR e fondi comuni </w:t>
      </w:r>
      <w:proofErr w:type="gramStart"/>
      <w:r w:rsidRPr="00E31086">
        <w:rPr>
          <w:lang w:val="it-IT"/>
        </w:rPr>
        <w:t xml:space="preserve">di </w:t>
      </w:r>
      <w:proofErr w:type="gramEnd"/>
      <w:r w:rsidRPr="00E31086">
        <w:rPr>
          <w:lang w:val="it-IT"/>
        </w:rPr>
        <w:t>investimento</w:t>
      </w:r>
    </w:p>
    <w:p w:rsidR="00DC78A4" w:rsidRPr="00E31086" w:rsidRDefault="008A0899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SIM e banche d’investimento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>Introduzione alla finanza aziendale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Eserciziario-capitolo-1 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Corporate </w:t>
      </w:r>
      <w:proofErr w:type="spellStart"/>
      <w:r w:rsidRPr="00E31086">
        <w:rPr>
          <w:lang w:val="it-IT"/>
        </w:rPr>
        <w:t>governance</w:t>
      </w:r>
      <w:proofErr w:type="spell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Eserciziario-capitolo-2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>VAN e criteri alternativi di scelta degli investimenti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Eserciziario-capitolo-6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Decisioni </w:t>
      </w:r>
      <w:proofErr w:type="gramStart"/>
      <w:r w:rsidRPr="00E31086">
        <w:rPr>
          <w:lang w:val="it-IT"/>
        </w:rPr>
        <w:t xml:space="preserve">di </w:t>
      </w:r>
      <w:proofErr w:type="gramEnd"/>
      <w:r w:rsidRPr="00E31086">
        <w:rPr>
          <w:lang w:val="it-IT"/>
        </w:rPr>
        <w:t>investimento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Eserciziario-capitolo-7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Analisi del rischio, </w:t>
      </w:r>
      <w:proofErr w:type="gramStart"/>
      <w:r w:rsidRPr="00E31086">
        <w:rPr>
          <w:lang w:val="it-IT"/>
        </w:rPr>
        <w:t>opzioni</w:t>
      </w:r>
      <w:proofErr w:type="gramEnd"/>
      <w:r w:rsidRPr="00E31086">
        <w:rPr>
          <w:lang w:val="it-IT"/>
        </w:rPr>
        <w:t xml:space="preserve"> reali e capital </w:t>
      </w:r>
      <w:proofErr w:type="spellStart"/>
      <w:r w:rsidRPr="00E31086">
        <w:rPr>
          <w:lang w:val="it-IT"/>
        </w:rPr>
        <w:t>budgeting</w:t>
      </w:r>
      <w:proofErr w:type="spell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Eserciziario-capitolo-8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Rischio e rendimento: lezioni di storia del mercato </w:t>
      </w:r>
      <w:proofErr w:type="gramStart"/>
      <w:r w:rsidRPr="00E31086">
        <w:rPr>
          <w:lang w:val="it-IT"/>
        </w:rPr>
        <w:t>dei</w:t>
      </w:r>
      <w:proofErr w:type="gramEnd"/>
      <w:r w:rsidRPr="00E31086">
        <w:rPr>
          <w:lang w:val="it-IT"/>
        </w:rPr>
        <w:t xml:space="preserve"> capitali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Eserciziario-capitolo-9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>Rischio e rendimento: il CAPM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Eserciziario-capitolo-10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 xml:space="preserve">Rischio, costo del capitale e capital </w:t>
      </w:r>
      <w:proofErr w:type="spellStart"/>
      <w:r w:rsidRPr="00E31086">
        <w:rPr>
          <w:lang w:val="it-IT"/>
        </w:rPr>
        <w:t>budgeting</w:t>
      </w:r>
      <w:proofErr w:type="spell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Eserciziario-capitolo-12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r w:rsidRPr="00E31086">
        <w:rPr>
          <w:lang w:val="it-IT"/>
        </w:rPr>
        <w:t>Struttura finanziaria: i principi fondamentali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D6E3BC" w:themeFill="accent3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Eserciziario-capitolo-15</w:t>
      </w:r>
      <w:proofErr w:type="gramEnd"/>
    </w:p>
    <w:p w:rsidR="00E31086" w:rsidRPr="00E31086" w:rsidRDefault="00E31086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Struttura finanziaria: i limiti all’uso del debito</w:t>
      </w:r>
    </w:p>
    <w:p w:rsidR="00E31086" w:rsidRPr="00E31086" w:rsidRDefault="00E31086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Eserciziario-capitolo-16</w:t>
      </w:r>
      <w:proofErr w:type="gramEnd"/>
    </w:p>
    <w:p w:rsidR="00E31086" w:rsidRPr="00E31086" w:rsidRDefault="00E31086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r w:rsidRPr="00E31086">
        <w:rPr>
          <w:lang w:val="it-IT"/>
        </w:rPr>
        <w:t>Dividendi e altre forme di distribuzione degli utili</w:t>
      </w:r>
    </w:p>
    <w:p w:rsidR="00E31086" w:rsidRPr="00E31086" w:rsidRDefault="00E31086" w:rsidP="00E31086">
      <w:pPr>
        <w:pStyle w:val="Paragrafoelenco"/>
        <w:numPr>
          <w:ilvl w:val="0"/>
          <w:numId w:val="8"/>
        </w:numPr>
        <w:shd w:val="clear" w:color="auto" w:fill="B6DDE8" w:themeFill="accent5" w:themeFillTint="66"/>
        <w:rPr>
          <w:lang w:val="it-IT"/>
        </w:rPr>
      </w:pPr>
      <w:proofErr w:type="gramStart"/>
      <w:r w:rsidRPr="00E31086">
        <w:rPr>
          <w:lang w:val="it-IT"/>
        </w:rPr>
        <w:t>Eserciziario-capitolo-18</w:t>
      </w:r>
      <w:proofErr w:type="gramEnd"/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r w:rsidRPr="00E31086">
        <w:rPr>
          <w:lang w:val="it-IT"/>
        </w:rPr>
        <w:t>Strumenti di pagamento nel commercio internazionale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r w:rsidRPr="00E31086">
        <w:rPr>
          <w:lang w:val="it-IT"/>
        </w:rPr>
        <w:t>I bisogni di finanziamento e la domanda di strumenti finanziari</w:t>
      </w:r>
    </w:p>
    <w:p w:rsidR="007176D7" w:rsidRPr="00E31086" w:rsidRDefault="007176D7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r w:rsidRPr="00E31086">
        <w:rPr>
          <w:lang w:val="it-IT"/>
        </w:rPr>
        <w:t xml:space="preserve">Gli strumenti creditizi di finanziamento </w:t>
      </w:r>
      <w:proofErr w:type="gramStart"/>
      <w:r w:rsidRPr="00E31086">
        <w:rPr>
          <w:lang w:val="it-IT"/>
        </w:rPr>
        <w:t>a breve termine</w:t>
      </w:r>
      <w:proofErr w:type="gramEnd"/>
    </w:p>
    <w:p w:rsidR="00F73A77" w:rsidRPr="00E31086" w:rsidRDefault="00466472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r w:rsidRPr="00E31086">
        <w:rPr>
          <w:lang w:val="it-IT"/>
        </w:rPr>
        <w:t>Il factoring</w:t>
      </w:r>
    </w:p>
    <w:p w:rsidR="00F73A77" w:rsidRPr="00E31086" w:rsidRDefault="00466472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proofErr w:type="gramStart"/>
      <w:r w:rsidRPr="00E31086">
        <w:rPr>
          <w:lang w:val="it-IT"/>
        </w:rPr>
        <w:t>I crediti di firma e gli strumenti diretti d’indebitamento a breve (…)</w:t>
      </w:r>
      <w:proofErr w:type="gramEnd"/>
    </w:p>
    <w:p w:rsidR="00F73A77" w:rsidRPr="00E31086" w:rsidRDefault="00466472" w:rsidP="00E31086">
      <w:pPr>
        <w:pStyle w:val="Paragrafoelenco"/>
        <w:numPr>
          <w:ilvl w:val="0"/>
          <w:numId w:val="8"/>
        </w:numPr>
        <w:shd w:val="clear" w:color="auto" w:fill="E5B8B7" w:themeFill="accent2" w:themeFillTint="66"/>
        <w:rPr>
          <w:lang w:val="it-IT"/>
        </w:rPr>
      </w:pPr>
      <w:r w:rsidRPr="00E31086">
        <w:rPr>
          <w:lang w:val="it-IT"/>
        </w:rPr>
        <w:t>Il finanziamento dei fabbisogni a medio-lungo termine</w:t>
      </w:r>
    </w:p>
    <w:p w:rsidR="007A3B42" w:rsidRPr="008A0899" w:rsidRDefault="007A3B42">
      <w:pPr>
        <w:rPr>
          <w:lang w:val="it-IT"/>
        </w:rPr>
      </w:pPr>
    </w:p>
    <w:p w:rsidR="00FC58D6" w:rsidRDefault="00FC58D6">
      <w:pPr>
        <w:rPr>
          <w:b/>
          <w:lang w:val="it-IT"/>
        </w:rPr>
      </w:pPr>
      <w:r>
        <w:rPr>
          <w:b/>
          <w:lang w:val="it-IT"/>
        </w:rPr>
        <w:br w:type="page"/>
      </w:r>
    </w:p>
    <w:p w:rsidR="008A0899" w:rsidRPr="008A0899" w:rsidRDefault="008A0899" w:rsidP="008A0899">
      <w:pPr>
        <w:jc w:val="center"/>
        <w:rPr>
          <w:b/>
          <w:lang w:val="it-IT"/>
        </w:rPr>
      </w:pPr>
      <w:r w:rsidRPr="008A0899">
        <w:rPr>
          <w:b/>
          <w:lang w:val="it-IT"/>
        </w:rPr>
        <w:lastRenderedPageBreak/>
        <w:t>Programma Finanza Aziendale A.A. 201</w:t>
      </w:r>
      <w:r w:rsidR="00D43954">
        <w:rPr>
          <w:b/>
          <w:lang w:val="it-IT"/>
        </w:rPr>
        <w:t>8</w:t>
      </w:r>
      <w:r w:rsidRPr="008A0899">
        <w:rPr>
          <w:b/>
          <w:lang w:val="it-IT"/>
        </w:rPr>
        <w:t>-201</w:t>
      </w:r>
      <w:r w:rsidR="00D43954">
        <w:rPr>
          <w:b/>
          <w:lang w:val="it-IT"/>
        </w:rPr>
        <w:t>9</w:t>
      </w:r>
      <w:r>
        <w:rPr>
          <w:b/>
          <w:lang w:val="it-IT"/>
        </w:rPr>
        <w:t xml:space="preserve"> - PAGINA </w:t>
      </w:r>
      <w:proofErr w:type="gramStart"/>
      <w:r>
        <w:rPr>
          <w:b/>
          <w:lang w:val="it-IT"/>
        </w:rPr>
        <w:t>2</w:t>
      </w:r>
      <w:proofErr w:type="gramEnd"/>
      <w:r>
        <w:rPr>
          <w:b/>
          <w:lang w:val="it-IT"/>
        </w:rPr>
        <w:t xml:space="preserve"> DI 2</w:t>
      </w:r>
    </w:p>
    <w:p w:rsidR="008A0899" w:rsidRDefault="008A0899" w:rsidP="008A0899">
      <w:pPr>
        <w:rPr>
          <w:b/>
          <w:lang w:val="it-IT"/>
        </w:rPr>
      </w:pPr>
    </w:p>
    <w:p w:rsidR="008A0899" w:rsidRPr="008A0899" w:rsidRDefault="008A0899" w:rsidP="008A0899">
      <w:pPr>
        <w:rPr>
          <w:b/>
          <w:lang w:val="it-IT"/>
        </w:rPr>
      </w:pPr>
      <w:r w:rsidRPr="008A0899">
        <w:rPr>
          <w:b/>
          <w:lang w:val="it-IT"/>
        </w:rPr>
        <w:t>LEGENDA:</w:t>
      </w:r>
    </w:p>
    <w:p w:rsidR="008A0899" w:rsidRPr="008A0899" w:rsidRDefault="008A0899" w:rsidP="008A0899">
      <w:pPr>
        <w:shd w:val="clear" w:color="auto" w:fill="D6E3BC" w:themeFill="accent3" w:themeFillTint="66"/>
        <w:rPr>
          <w:lang w:val="it-IT"/>
        </w:rPr>
      </w:pPr>
      <w:r w:rsidRPr="008A0899">
        <w:rPr>
          <w:lang w:val="it-IT"/>
        </w:rPr>
        <w:t xml:space="preserve">Prima prova parziale </w:t>
      </w:r>
    </w:p>
    <w:p w:rsidR="008A0899" w:rsidRPr="008A0899" w:rsidRDefault="008A0899" w:rsidP="008A0899">
      <w:pPr>
        <w:shd w:val="clear" w:color="auto" w:fill="B6DDE8" w:themeFill="accent5" w:themeFillTint="66"/>
        <w:rPr>
          <w:lang w:val="it-IT"/>
        </w:rPr>
      </w:pPr>
      <w:r w:rsidRPr="008A0899">
        <w:rPr>
          <w:lang w:val="it-IT"/>
        </w:rPr>
        <w:t>Seconda prova parziale</w:t>
      </w:r>
    </w:p>
    <w:p w:rsidR="008A0899" w:rsidRPr="008A0899" w:rsidRDefault="008A0899" w:rsidP="008A0899">
      <w:pPr>
        <w:shd w:val="clear" w:color="auto" w:fill="E5B8B7" w:themeFill="accent2" w:themeFillTint="66"/>
        <w:rPr>
          <w:lang w:val="it-IT"/>
        </w:rPr>
      </w:pPr>
      <w:r w:rsidRPr="008A0899">
        <w:rPr>
          <w:lang w:val="it-IT"/>
        </w:rPr>
        <w:t>Non nel programma d’esame</w:t>
      </w:r>
    </w:p>
    <w:p w:rsidR="008A0899" w:rsidRPr="008A0899" w:rsidRDefault="008A0899" w:rsidP="008A0899">
      <w:pPr>
        <w:rPr>
          <w:lang w:val="it-IT"/>
        </w:rPr>
      </w:pPr>
    </w:p>
    <w:p w:rsidR="008A0899" w:rsidRPr="008A0899" w:rsidRDefault="008A0899" w:rsidP="008A0899">
      <w:pPr>
        <w:rPr>
          <w:lang w:val="it-IT"/>
        </w:rPr>
      </w:pPr>
      <w:r w:rsidRPr="008A0899">
        <w:rPr>
          <w:lang w:val="it-IT"/>
        </w:rPr>
        <w:t>Attenzione: chi non ha superato la prima prova parziale, deve preparare per l’esame complet</w:t>
      </w:r>
      <w:r w:rsidR="00FF0382">
        <w:rPr>
          <w:lang w:val="it-IT"/>
        </w:rPr>
        <w:t>o</w:t>
      </w:r>
      <w:r w:rsidRPr="008A0899">
        <w:rPr>
          <w:lang w:val="it-IT"/>
        </w:rPr>
        <w:t xml:space="preserve"> sia il materiale </w:t>
      </w:r>
      <w:proofErr w:type="gramStart"/>
      <w:r w:rsidRPr="008A0899">
        <w:rPr>
          <w:lang w:val="it-IT"/>
        </w:rPr>
        <w:t>relativo alla</w:t>
      </w:r>
      <w:proofErr w:type="gramEnd"/>
      <w:r w:rsidRPr="008A0899">
        <w:rPr>
          <w:lang w:val="it-IT"/>
        </w:rPr>
        <w:t xml:space="preserve"> prima prova parziale che quello relativo alla seconda prova parziale.</w:t>
      </w:r>
    </w:p>
    <w:p w:rsidR="008A0899" w:rsidRPr="008A0899" w:rsidRDefault="008A0899" w:rsidP="008A0899">
      <w:pPr>
        <w:rPr>
          <w:lang w:val="it-IT"/>
        </w:rPr>
      </w:pPr>
    </w:p>
    <w:p w:rsidR="007176D7" w:rsidRPr="008A0899" w:rsidRDefault="007176D7" w:rsidP="007176D7">
      <w:pPr>
        <w:rPr>
          <w:b/>
          <w:lang w:val="it-IT"/>
        </w:rPr>
      </w:pPr>
      <w:r w:rsidRPr="008A0899">
        <w:rPr>
          <w:b/>
          <w:lang w:val="it-IT"/>
        </w:rPr>
        <w:t xml:space="preserve">MATERIALE DALLE </w:t>
      </w:r>
      <w:proofErr w:type="gramStart"/>
      <w:r w:rsidRPr="008A0899">
        <w:rPr>
          <w:b/>
          <w:lang w:val="it-IT"/>
        </w:rPr>
        <w:t>SLIDE</w:t>
      </w:r>
      <w:proofErr w:type="gramEnd"/>
    </w:p>
    <w:p w:rsidR="00F10DA2" w:rsidRPr="00F10DA2" w:rsidRDefault="00B24D32" w:rsidP="00E31086">
      <w:pPr>
        <w:pStyle w:val="Paragrafoelenco"/>
        <w:numPr>
          <w:ilvl w:val="0"/>
          <w:numId w:val="4"/>
        </w:numPr>
        <w:shd w:val="clear" w:color="auto" w:fill="D6E3BC" w:themeFill="accent3" w:themeFillTint="66"/>
        <w:rPr>
          <w:lang w:val="it-IT"/>
        </w:rPr>
      </w:pPr>
      <w:r>
        <w:rPr>
          <w:lang w:val="it-IT"/>
        </w:rPr>
        <w:t>BCE e politiche anti-crisi (</w:t>
      </w:r>
      <w:proofErr w:type="spellStart"/>
      <w:r>
        <w:rPr>
          <w:lang w:val="it-IT"/>
        </w:rPr>
        <w:t>slides</w:t>
      </w:r>
      <w:proofErr w:type="spellEnd"/>
      <w:r>
        <w:rPr>
          <w:lang w:val="it-IT"/>
        </w:rPr>
        <w:t xml:space="preserve"> 1-2-3)</w:t>
      </w:r>
      <w:bookmarkStart w:id="0" w:name="_GoBack"/>
      <w:bookmarkEnd w:id="0"/>
    </w:p>
    <w:sectPr w:rsidR="00F10DA2" w:rsidRPr="00F10DA2" w:rsidSect="00FC58D6">
      <w:pgSz w:w="11906" w:h="16838"/>
      <w:pgMar w:top="720" w:right="720" w:bottom="720" w:left="720" w:header="107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196"/>
    <w:multiLevelType w:val="hybridMultilevel"/>
    <w:tmpl w:val="1CBEF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C7962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2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9B01E0"/>
    <w:multiLevelType w:val="hybridMultilevel"/>
    <w:tmpl w:val="1CBEF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C7962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2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B19E5"/>
    <w:multiLevelType w:val="hybridMultilevel"/>
    <w:tmpl w:val="4CCA30E6"/>
    <w:lvl w:ilvl="0" w:tplc="AA92307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C7962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2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B6954"/>
    <w:multiLevelType w:val="hybridMultilevel"/>
    <w:tmpl w:val="38D0FA98"/>
    <w:lvl w:ilvl="0" w:tplc="2A5A3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0F3862"/>
    <w:multiLevelType w:val="hybridMultilevel"/>
    <w:tmpl w:val="999A2AFE"/>
    <w:lvl w:ilvl="0" w:tplc="9E9E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C7962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2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08601B"/>
    <w:multiLevelType w:val="hybridMultilevel"/>
    <w:tmpl w:val="6E6A4F04"/>
    <w:lvl w:ilvl="0" w:tplc="FA345624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61C0A"/>
    <w:multiLevelType w:val="hybridMultilevel"/>
    <w:tmpl w:val="ABAC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35D34"/>
    <w:multiLevelType w:val="hybridMultilevel"/>
    <w:tmpl w:val="CE22671E"/>
    <w:lvl w:ilvl="0" w:tplc="FA34562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C7962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2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2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2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7"/>
    <w:rsid w:val="00466472"/>
    <w:rsid w:val="007176D7"/>
    <w:rsid w:val="007A3B42"/>
    <w:rsid w:val="007D423F"/>
    <w:rsid w:val="008A0899"/>
    <w:rsid w:val="00AB202C"/>
    <w:rsid w:val="00B24D32"/>
    <w:rsid w:val="00CF4839"/>
    <w:rsid w:val="00D101A0"/>
    <w:rsid w:val="00D43954"/>
    <w:rsid w:val="00DC78A4"/>
    <w:rsid w:val="00E31086"/>
    <w:rsid w:val="00EC1349"/>
    <w:rsid w:val="00F10DA2"/>
    <w:rsid w:val="00F73A77"/>
    <w:rsid w:val="00FC58D6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1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9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68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2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3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7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28DA-1ADC-4256-9B38-6D333BE1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ElisaGiaretta</dc:creator>
  <cp:lastModifiedBy>Elisa</cp:lastModifiedBy>
  <cp:revision>5</cp:revision>
  <dcterms:created xsi:type="dcterms:W3CDTF">2018-09-06T08:59:00Z</dcterms:created>
  <dcterms:modified xsi:type="dcterms:W3CDTF">2018-10-31T10:32:00Z</dcterms:modified>
</cp:coreProperties>
</file>